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rPr>
          <w:rFonts w:hint="default" w:ascii="Times New Roman" w:hAnsi="Times New Roman" w:eastAsia="方正小标宋_GBK" w:cs="Times New Roman"/>
          <w:sz w:val="44"/>
          <w:szCs w:val="52"/>
        </w:rPr>
      </w:pPr>
      <w:bookmarkStart w:id="0" w:name="_GoBack"/>
      <w:bookmarkEnd w:id="0"/>
      <w:r>
        <w:rPr>
          <w:rFonts w:hint="default" w:ascii="Times New Roman" w:hAnsi="Times New Roman" w:eastAsia="方正小标宋_GBK" w:cs="Times New Roman"/>
          <w:sz w:val="44"/>
          <w:szCs w:val="52"/>
        </w:rPr>
        <w:t>电力安全隐患</w:t>
      </w:r>
      <w:r>
        <w:rPr>
          <w:rFonts w:hint="eastAsia" w:ascii="Times New Roman" w:hAnsi="Times New Roman" w:eastAsia="方正小标宋_GBK" w:cs="Times New Roman"/>
          <w:sz w:val="44"/>
          <w:szCs w:val="52"/>
          <w:lang w:eastAsia="zh-CN"/>
        </w:rPr>
        <w:t>治理</w:t>
      </w:r>
      <w:r>
        <w:rPr>
          <w:rFonts w:hint="default" w:ascii="Times New Roman" w:hAnsi="Times New Roman" w:eastAsia="方正小标宋_GBK" w:cs="Times New Roman"/>
          <w:sz w:val="44"/>
          <w:szCs w:val="52"/>
        </w:rPr>
        <w:t>监督管理规定</w:t>
      </w:r>
    </w:p>
    <w:p>
      <w:pPr>
        <w:ind w:firstLine="0" w:firstLineChars="0"/>
        <w:jc w:val="left"/>
        <w:rPr>
          <w:rFonts w:hint="default" w:ascii="Times New Roman" w:hAnsi="Times New Roman" w:cs="Times New Roman"/>
        </w:rPr>
      </w:pPr>
    </w:p>
    <w:p>
      <w:pPr>
        <w:pStyle w:val="2"/>
        <w:ind w:firstLine="0" w:firstLineChars="0"/>
        <w:rPr>
          <w:rFonts w:hint="default" w:ascii="Times New Roman" w:hAnsi="Times New Roman" w:cs="Times New Roman"/>
        </w:rPr>
      </w:pPr>
      <w:r>
        <w:rPr>
          <w:rFonts w:hint="default" w:ascii="Times New Roman" w:hAnsi="Times New Roman" w:cs="Times New Roman"/>
        </w:rPr>
        <w:t>第一章  总 则</w:t>
      </w:r>
    </w:p>
    <w:p>
      <w:pPr>
        <w:ind w:firstLine="640"/>
        <w:rPr>
          <w:rFonts w:hint="default" w:ascii="Times New Roman" w:hAnsi="Times New Roman" w:cs="Times New Roman"/>
        </w:rPr>
      </w:pPr>
      <w:r>
        <w:rPr>
          <w:rFonts w:hint="default" w:ascii="Times New Roman" w:hAnsi="Times New Roman" w:cs="Times New Roman"/>
        </w:rPr>
        <w:t>第一条 为贯彻落实“安全第一、预防为主、综合治理”方针，规范电力安全隐患（以下简称隐患）排查治理工作，建立隐患监督管理长效机制，防范电力事故和电力安全事件发生，依据《中华人民共和国安全生产法》《电力监管条例》等相关法律法规和电力行业相关规定，制定本规定。</w:t>
      </w:r>
    </w:p>
    <w:p>
      <w:pPr>
        <w:ind w:firstLine="640"/>
        <w:rPr>
          <w:rFonts w:ascii="Times New Roman" w:hAnsi="Times New Roman" w:cs="Times New Roman"/>
        </w:rPr>
      </w:pPr>
      <w:r>
        <w:rPr>
          <w:rFonts w:hint="default" w:ascii="Times New Roman" w:hAnsi="Times New Roman" w:cs="Times New Roman"/>
        </w:rPr>
        <w:t>第二条 本规定所称隐患是指电力企业</w:t>
      </w:r>
      <w:r>
        <w:rPr>
          <w:rFonts w:hint="eastAsia" w:ascii="Times New Roman" w:hAnsi="Times New Roman" w:cs="Times New Roman"/>
          <w:lang w:eastAsia="zh-CN"/>
        </w:rPr>
        <w:t>（</w:t>
      </w:r>
      <w:r>
        <w:rPr>
          <w:rFonts w:hint="default" w:ascii="Times New Roman" w:hAnsi="Times New Roman" w:cs="Times New Roman"/>
        </w:rPr>
        <w:t>含</w:t>
      </w:r>
      <w:r>
        <w:rPr>
          <w:rFonts w:ascii="Times New Roman" w:hAnsi="Times New Roman" w:cs="Times New Roman"/>
        </w:rPr>
        <w:t>电力建设施工企业</w:t>
      </w:r>
      <w:r>
        <w:rPr>
          <w:rFonts w:hint="eastAsia" w:ascii="Times New Roman" w:hAnsi="Times New Roman" w:cs="Times New Roman"/>
          <w:lang w:eastAsia="zh-CN"/>
        </w:rPr>
        <w:t>）</w:t>
      </w:r>
      <w:r>
        <w:rPr>
          <w:rFonts w:hint="default" w:ascii="Times New Roman" w:hAnsi="Times New Roman" w:cs="Times New Roman"/>
        </w:rPr>
        <w:t>违反安全生产法律、法规、规章、标准、规程和安全生产管理制度的规定，或者因其他因素在电力生产和建设施工过程中产生的可能导致电力事故和电力安全事件的人的不安全行为、设备设施的不安全状态、不良</w:t>
      </w:r>
      <w:r>
        <w:rPr>
          <w:rFonts w:hint="eastAsia" w:ascii="Times New Roman" w:hAnsi="Times New Roman" w:cs="Times New Roman"/>
          <w:lang w:eastAsia="zh-CN"/>
        </w:rPr>
        <w:t>的</w:t>
      </w:r>
      <w:r>
        <w:rPr>
          <w:rFonts w:hint="default" w:ascii="Times New Roman" w:hAnsi="Times New Roman" w:cs="Times New Roman"/>
        </w:rPr>
        <w:t>工作环境以及安全管理方面的缺失。核安全隐患除外。</w:t>
      </w:r>
    </w:p>
    <w:p>
      <w:pPr>
        <w:ind w:firstLine="640"/>
        <w:rPr>
          <w:rFonts w:ascii="Times New Roman" w:hAnsi="Times New Roman" w:cs="Times New Roman"/>
        </w:rPr>
      </w:pPr>
      <w:r>
        <w:rPr>
          <w:rFonts w:hint="default" w:ascii="Times New Roman" w:hAnsi="Times New Roman" w:cs="Times New Roman"/>
        </w:rPr>
        <w:t>第三条 电力企业负隐患排查治理主体责任，按照本</w:t>
      </w:r>
      <w:r>
        <w:rPr>
          <w:rFonts w:ascii="Times New Roman" w:hAnsi="Times New Roman" w:cs="Times New Roman"/>
        </w:rPr>
        <w:t>规定开展</w:t>
      </w:r>
      <w:r>
        <w:rPr>
          <w:rFonts w:hint="default" w:ascii="Times New Roman" w:hAnsi="Times New Roman" w:cs="Times New Roman"/>
        </w:rPr>
        <w:t>隐患排查治理工作。国家能源局及其派出机构、地方电力管理部门依据相关法律法规</w:t>
      </w:r>
      <w:r>
        <w:rPr>
          <w:rFonts w:hint="default" w:ascii="Times New Roman" w:hAnsi="Times New Roman" w:cs="Times New Roman"/>
          <w:lang w:eastAsia="zh-CN"/>
        </w:rPr>
        <w:t>和相关规定</w:t>
      </w:r>
      <w:r>
        <w:rPr>
          <w:rFonts w:hint="default" w:ascii="Times New Roman" w:hAnsi="Times New Roman" w:cs="Times New Roman"/>
        </w:rPr>
        <w:t>负隐患监督管理责任，</w:t>
      </w:r>
      <w:r>
        <w:rPr>
          <w:rFonts w:hint="default" w:ascii="Times New Roman" w:hAnsi="Times New Roman" w:eastAsia="仿宋" w:cs="Times New Roman"/>
          <w:i w:val="0"/>
          <w:iCs w:val="0"/>
          <w:caps w:val="0"/>
          <w:color w:val="222222"/>
          <w:spacing w:val="0"/>
          <w:sz w:val="32"/>
          <w:szCs w:val="24"/>
          <w:shd w:val="clear" w:color="auto" w:fill="auto"/>
        </w:rPr>
        <w:t>在职责范围内</w:t>
      </w:r>
      <w:r>
        <w:rPr>
          <w:rFonts w:hint="default" w:ascii="Times New Roman" w:hAnsi="Times New Roman" w:cs="Times New Roman"/>
        </w:rPr>
        <w:t>按照本规定对电力</w:t>
      </w:r>
      <w:r>
        <w:rPr>
          <w:rFonts w:ascii="Times New Roman" w:hAnsi="Times New Roman" w:cs="Times New Roman"/>
        </w:rPr>
        <w:t>企业</w:t>
      </w:r>
      <w:r>
        <w:rPr>
          <w:rFonts w:hint="default" w:ascii="Times New Roman" w:hAnsi="Times New Roman" w:cs="Times New Roman"/>
        </w:rPr>
        <w:t>隐患</w:t>
      </w:r>
      <w:r>
        <w:rPr>
          <w:rFonts w:ascii="Times New Roman" w:hAnsi="Times New Roman" w:cs="Times New Roman"/>
        </w:rPr>
        <w:t>排查治理</w:t>
      </w:r>
      <w:r>
        <w:rPr>
          <w:rFonts w:hint="default" w:ascii="Times New Roman" w:hAnsi="Times New Roman" w:cs="Times New Roman"/>
        </w:rPr>
        <w:t>工作开展</w:t>
      </w:r>
      <w:r>
        <w:rPr>
          <w:rFonts w:hint="default" w:ascii="Times New Roman" w:hAnsi="Times New Roman" w:cs="Times New Roman"/>
          <w:lang w:eastAsia="zh-CN"/>
        </w:rPr>
        <w:t>相关</w:t>
      </w:r>
      <w:r>
        <w:rPr>
          <w:rFonts w:hint="default" w:ascii="Times New Roman" w:hAnsi="Times New Roman" w:cs="Times New Roman"/>
        </w:rPr>
        <w:t>监督管理。</w:t>
      </w:r>
    </w:p>
    <w:p>
      <w:pPr>
        <w:rPr>
          <w:rFonts w:hint="default" w:ascii="Times New Roman" w:hAnsi="Times New Roman" w:eastAsia="仿宋" w:cs="Times New Roman"/>
          <w:highlight w:val="none"/>
          <w:lang w:val="en-US" w:eastAsia="zh-CN"/>
        </w:rPr>
      </w:pPr>
      <w:r>
        <w:rPr>
          <w:rFonts w:hint="default" w:ascii="Times New Roman" w:hAnsi="Times New Roman" w:cs="Times New Roman"/>
        </w:rPr>
        <w:t xml:space="preserve">第四条 </w:t>
      </w:r>
      <w:r>
        <w:rPr>
          <w:rFonts w:hint="default" w:ascii="Times New Roman" w:hAnsi="Times New Roman" w:cs="Times New Roman"/>
          <w:lang w:eastAsia="zh-CN"/>
        </w:rPr>
        <w:t>国家能源局及其派出机构、地方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依法对重大隐患进行督办。重大隐患判定标准由国家能源局负责制定。</w:t>
      </w:r>
      <w:r>
        <w:rPr>
          <w:rFonts w:hint="default" w:ascii="Times New Roman" w:hAnsi="Times New Roman" w:cs="Times New Roman"/>
          <w:highlight w:val="none"/>
          <w:lang w:val="en-US" w:eastAsia="zh-CN"/>
        </w:rPr>
        <w:t>其他隐患判定由电力企业负责。</w:t>
      </w:r>
    </w:p>
    <w:p>
      <w:pPr>
        <w:rPr>
          <w:rFonts w:hint="default" w:ascii="Times New Roman" w:hAnsi="Times New Roman" w:cs="Times New Roman"/>
        </w:rPr>
      </w:pPr>
    </w:p>
    <w:p>
      <w:pPr>
        <w:pStyle w:val="2"/>
        <w:ind w:firstLine="0" w:firstLineChars="0"/>
        <w:rPr>
          <w:rFonts w:hint="default" w:ascii="Times New Roman" w:hAnsi="Times New Roman" w:cs="Times New Roman"/>
        </w:rPr>
      </w:pPr>
      <w:r>
        <w:rPr>
          <w:rFonts w:hint="default" w:ascii="Times New Roman" w:hAnsi="Times New Roman" w:cs="Times New Roman"/>
        </w:rPr>
        <w:t>第二章 隐患排查治理</w:t>
      </w:r>
    </w:p>
    <w:p>
      <w:pPr>
        <w:ind w:firstLine="640"/>
        <w:rPr>
          <w:rFonts w:hint="default" w:ascii="Times New Roman" w:hAnsi="Times New Roman" w:cs="Times New Roman"/>
        </w:rPr>
      </w:pPr>
      <w:r>
        <w:rPr>
          <w:rFonts w:hint="default" w:ascii="Times New Roman" w:hAnsi="Times New Roman" w:cs="Times New Roman"/>
        </w:rPr>
        <w:t>第五条 电力企业主要负责人是本单位隐患排查治理的第一责任人，对隐患排查治理工作全面负责，组织建立并落实隐患排查治理制度机制，督促、检查本单位隐患排查治理工作，及时消除隐患。</w:t>
      </w:r>
    </w:p>
    <w:p>
      <w:pPr>
        <w:ind w:firstLine="640"/>
        <w:rPr>
          <w:rFonts w:hint="default" w:ascii="Times New Roman" w:hAnsi="Times New Roman" w:cs="Times New Roman"/>
        </w:rPr>
      </w:pPr>
      <w:r>
        <w:rPr>
          <w:rFonts w:hint="default" w:ascii="Times New Roman" w:hAnsi="Times New Roman" w:cs="Times New Roman"/>
        </w:rPr>
        <w:t>第六条 电力企业应当建立包括下列内容的隐患排查治理制度：</w:t>
      </w:r>
    </w:p>
    <w:p>
      <w:pPr>
        <w:ind w:firstLine="640"/>
        <w:rPr>
          <w:rFonts w:hint="default" w:ascii="Times New Roman" w:hAnsi="Times New Roman" w:cs="Times New Roman"/>
        </w:rPr>
      </w:pPr>
      <w:r>
        <w:rPr>
          <w:rFonts w:hint="default" w:ascii="Times New Roman" w:hAnsi="Times New Roman" w:cs="Times New Roman"/>
        </w:rPr>
        <w:t>（一）主要负责人、分管负责人、部门和岗位人员隐患排查治理工作要求、职责范围、防控责任；</w:t>
      </w:r>
    </w:p>
    <w:p>
      <w:pPr>
        <w:ind w:firstLine="640"/>
        <w:rPr>
          <w:rFonts w:hint="default" w:ascii="Times New Roman" w:hAnsi="Times New Roman" w:cs="Times New Roman"/>
        </w:rPr>
      </w:pPr>
      <w:r>
        <w:rPr>
          <w:rFonts w:hint="default" w:ascii="Times New Roman" w:hAnsi="Times New Roman" w:cs="Times New Roman"/>
        </w:rPr>
        <w:t>（二）隐患排查事项、具体内容和排查周期；</w:t>
      </w:r>
    </w:p>
    <w:p>
      <w:pPr>
        <w:ind w:firstLine="640"/>
        <w:rPr>
          <w:rFonts w:hint="default" w:ascii="Times New Roman" w:hAnsi="Times New Roman" w:cs="Times New Roman"/>
        </w:rPr>
      </w:pPr>
      <w:r>
        <w:rPr>
          <w:rFonts w:hint="default" w:ascii="Times New Roman" w:hAnsi="Times New Roman" w:cs="Times New Roman"/>
        </w:rPr>
        <w:t>（三）重大</w:t>
      </w:r>
      <w:r>
        <w:rPr>
          <w:rFonts w:ascii="Times New Roman" w:hAnsi="Times New Roman" w:cs="Times New Roman"/>
        </w:rPr>
        <w:t>隐患</w:t>
      </w:r>
      <w:r>
        <w:rPr>
          <w:rFonts w:hint="default" w:ascii="Times New Roman" w:hAnsi="Times New Roman" w:cs="Times New Roman"/>
        </w:rPr>
        <w:t>以外的其他隐患判定标准；</w:t>
      </w:r>
    </w:p>
    <w:p>
      <w:pPr>
        <w:ind w:firstLine="640"/>
        <w:rPr>
          <w:rFonts w:hint="default" w:ascii="Times New Roman" w:hAnsi="Times New Roman" w:cs="Times New Roman"/>
        </w:rPr>
      </w:pPr>
      <w:r>
        <w:rPr>
          <w:rFonts w:hint="default" w:ascii="Times New Roman" w:hAnsi="Times New Roman" w:cs="Times New Roman"/>
        </w:rPr>
        <w:t>（四）隐患的治理流程；</w:t>
      </w:r>
    </w:p>
    <w:p>
      <w:pPr>
        <w:ind w:firstLine="640"/>
        <w:rPr>
          <w:rFonts w:hint="default" w:ascii="Times New Roman" w:hAnsi="Times New Roman" w:cs="Times New Roman"/>
        </w:rPr>
      </w:pPr>
      <w:r>
        <w:rPr>
          <w:rFonts w:hint="default" w:ascii="Times New Roman" w:hAnsi="Times New Roman" w:cs="Times New Roman"/>
        </w:rPr>
        <w:t>（五）重大隐患治理结果评估；</w:t>
      </w:r>
    </w:p>
    <w:p>
      <w:pPr>
        <w:ind w:firstLine="640"/>
        <w:rPr>
          <w:rFonts w:hint="default" w:ascii="Times New Roman" w:hAnsi="Times New Roman" w:cs="Times New Roman"/>
        </w:rPr>
      </w:pPr>
      <w:r>
        <w:rPr>
          <w:rFonts w:hint="default" w:ascii="Times New Roman" w:hAnsi="Times New Roman" w:cs="Times New Roman"/>
        </w:rPr>
        <w:t>（六）隐患排查治理能力培训；</w:t>
      </w:r>
    </w:p>
    <w:p>
      <w:pPr>
        <w:ind w:firstLine="640"/>
        <w:rPr>
          <w:rFonts w:hint="default" w:ascii="Times New Roman" w:hAnsi="Times New Roman" w:cs="Times New Roman"/>
        </w:rPr>
      </w:pPr>
      <w:r>
        <w:rPr>
          <w:rFonts w:hint="default" w:ascii="Times New Roman" w:hAnsi="Times New Roman" w:cs="Times New Roman"/>
        </w:rPr>
        <w:t>（七）资金、人员和设备设施保障；</w:t>
      </w:r>
    </w:p>
    <w:p>
      <w:pPr>
        <w:tabs>
          <w:tab w:val="center" w:pos="4422"/>
        </w:tabs>
        <w:ind w:firstLine="640"/>
        <w:rPr>
          <w:rFonts w:hint="default" w:ascii="Times New Roman" w:hAnsi="Times New Roman" w:cs="Times New Roman"/>
        </w:rPr>
      </w:pPr>
      <w:r>
        <w:rPr>
          <w:rFonts w:hint="default" w:ascii="Times New Roman" w:hAnsi="Times New Roman" w:cs="Times New Roman"/>
        </w:rPr>
        <w:t>（八）应当纳入的其他内容。</w:t>
      </w:r>
      <w:r>
        <w:rPr>
          <w:rFonts w:hint="default" w:ascii="Times New Roman" w:hAnsi="Times New Roman" w:cs="Times New Roman"/>
        </w:rPr>
        <w:tab/>
      </w:r>
    </w:p>
    <w:p>
      <w:pPr>
        <w:ind w:firstLine="640"/>
        <w:rPr>
          <w:rFonts w:hint="default" w:ascii="Times New Roman" w:hAnsi="Times New Roman" w:cs="Times New Roman"/>
        </w:rPr>
      </w:pPr>
      <w:r>
        <w:rPr>
          <w:rFonts w:hint="default" w:ascii="Times New Roman" w:hAnsi="Times New Roman" w:cs="Times New Roman"/>
        </w:rPr>
        <w:t>第七条 电力企业应当定期组织安全生产管理人员、专业技术人员和其他相关人员</w:t>
      </w:r>
      <w:r>
        <w:rPr>
          <w:rFonts w:hint="default" w:ascii="Times New Roman" w:hAnsi="Times New Roman" w:cs="Times New Roman"/>
          <w:lang w:val="en-US" w:eastAsia="zh-CN"/>
        </w:rPr>
        <w:t>根据《</w:t>
      </w:r>
      <w:r>
        <w:rPr>
          <w:rFonts w:hint="default" w:ascii="Times New Roman" w:hAnsi="Times New Roman" w:eastAsia="仿宋" w:cs="Times New Roman"/>
          <w:i w:val="0"/>
          <w:iCs w:val="0"/>
          <w:caps w:val="0"/>
          <w:color w:val="000000"/>
          <w:spacing w:val="0"/>
          <w:sz w:val="32"/>
          <w:szCs w:val="24"/>
          <w:shd w:val="clear" w:color="auto" w:fill="auto"/>
        </w:rPr>
        <w:t>防止电力生产事故的二十五项重点要求</w:t>
      </w:r>
      <w:r>
        <w:rPr>
          <w:rFonts w:hint="default" w:ascii="Times New Roman" w:hAnsi="Times New Roman" w:cs="Times New Roman"/>
          <w:lang w:val="en-US" w:eastAsia="zh-CN"/>
        </w:rPr>
        <w:t>》</w:t>
      </w:r>
      <w:r>
        <w:rPr>
          <w:rStyle w:val="7"/>
          <w:rFonts w:hint="default" w:ascii="Times New Roman" w:hAnsi="Times New Roman" w:eastAsia="仿宋" w:cs="Times New Roman"/>
          <w:b w:val="0"/>
          <w:bCs/>
          <w:i w:val="0"/>
          <w:iCs w:val="0"/>
          <w:caps w:val="0"/>
          <w:color w:val="000000"/>
          <w:spacing w:val="0"/>
          <w:sz w:val="32"/>
          <w:szCs w:val="24"/>
          <w:shd w:val="clear" w:color="auto" w:fill="auto"/>
        </w:rPr>
        <w:t>《防止电力建设工程施工安全事故三十项重点要求》</w:t>
      </w:r>
      <w:r>
        <w:rPr>
          <w:rFonts w:hint="default" w:ascii="Times New Roman" w:hAnsi="Times New Roman" w:cs="Times New Roman"/>
          <w:i w:val="0"/>
          <w:iCs w:val="0"/>
          <w:caps w:val="0"/>
          <w:spacing w:val="0"/>
          <w:sz w:val="32"/>
          <w:szCs w:val="24"/>
          <w:shd w:val="clear" w:color="auto" w:fill="auto"/>
          <w:lang w:val="en-US" w:eastAsia="zh-CN"/>
        </w:rPr>
        <w:t>等</w:t>
      </w:r>
      <w:r>
        <w:rPr>
          <w:rFonts w:hint="default" w:ascii="Times New Roman" w:hAnsi="Times New Roman" w:cs="Times New Roman"/>
          <w:i w:val="0"/>
          <w:iCs w:val="0"/>
          <w:caps w:val="0"/>
          <w:color w:val="000000"/>
          <w:spacing w:val="0"/>
          <w:sz w:val="32"/>
          <w:szCs w:val="24"/>
          <w:shd w:val="clear" w:color="auto" w:fill="auto"/>
        </w:rPr>
        <w:t>电力安全生产</w:t>
      </w:r>
      <w:r>
        <w:rPr>
          <w:rFonts w:hint="default" w:ascii="Times New Roman" w:hAnsi="Times New Roman" w:cs="Times New Roman"/>
          <w:i w:val="0"/>
          <w:iCs w:val="0"/>
          <w:caps w:val="0"/>
          <w:spacing w:val="0"/>
          <w:sz w:val="32"/>
          <w:szCs w:val="24"/>
          <w:shd w:val="clear" w:color="auto" w:fill="auto"/>
          <w:lang w:val="en-US" w:eastAsia="zh-CN"/>
        </w:rPr>
        <w:t>相关</w:t>
      </w:r>
      <w:r>
        <w:rPr>
          <w:rFonts w:hint="default" w:ascii="Times New Roman" w:hAnsi="Times New Roman" w:cs="Times New Roman"/>
          <w:i w:val="0"/>
          <w:iCs w:val="0"/>
          <w:caps w:val="0"/>
          <w:color w:val="000000"/>
          <w:spacing w:val="0"/>
          <w:sz w:val="32"/>
          <w:szCs w:val="24"/>
          <w:shd w:val="clear" w:color="auto" w:fill="auto"/>
        </w:rPr>
        <w:t>法规、标准、规程</w:t>
      </w:r>
      <w:r>
        <w:rPr>
          <w:rFonts w:hint="default" w:ascii="Times New Roman" w:hAnsi="Times New Roman" w:cs="Times New Roman"/>
        </w:rPr>
        <w:t>排查本单位的隐患，对排查出的隐患应当进行登记。</w:t>
      </w:r>
    </w:p>
    <w:p>
      <w:pPr>
        <w:ind w:firstLine="640"/>
        <w:rPr>
          <w:rFonts w:hint="default" w:ascii="Times New Roman" w:hAnsi="Times New Roman" w:cs="Times New Roman"/>
        </w:rPr>
      </w:pPr>
      <w:r>
        <w:rPr>
          <w:rFonts w:hint="default" w:ascii="Times New Roman" w:hAnsi="Times New Roman" w:cs="Times New Roman"/>
        </w:rPr>
        <w:t>登记信息应当包括排查对象、时间、人员、隐患级别、隐患具体描述等内容，经隐患排查工作责任人</w:t>
      </w:r>
      <w:r>
        <w:rPr>
          <w:rFonts w:hint="default" w:ascii="Times New Roman" w:hAnsi="Times New Roman" w:cs="Times New Roman"/>
          <w:lang w:val="en-US" w:eastAsia="zh-CN"/>
        </w:rPr>
        <w:t>审核确认</w:t>
      </w:r>
      <w:r>
        <w:rPr>
          <w:rFonts w:hint="default" w:ascii="Times New Roman" w:hAnsi="Times New Roman" w:cs="Times New Roman"/>
        </w:rPr>
        <w:t>后妥善保存。</w:t>
      </w:r>
    </w:p>
    <w:p>
      <w:pPr>
        <w:ind w:firstLine="640"/>
        <w:rPr>
          <w:rFonts w:hint="default" w:ascii="Times New Roman" w:hAnsi="Times New Roman" w:cs="Times New Roman"/>
        </w:rPr>
      </w:pPr>
      <w:r>
        <w:rPr>
          <w:rFonts w:hint="default" w:ascii="Times New Roman" w:hAnsi="Times New Roman" w:cs="Times New Roman"/>
        </w:rPr>
        <w:t>第八条 电力企业应当建立重大隐患即时报告制度，发现重大隐患立即向国家能源局派出机构、地方</w:t>
      </w:r>
      <w:r>
        <w:rPr>
          <w:rFonts w:hint="default" w:ascii="Times New Roman" w:hAnsi="Times New Roman" w:cs="Times New Roman"/>
          <w:lang w:val="en-US" w:eastAsia="zh-CN"/>
        </w:rPr>
        <w:t>电力</w:t>
      </w:r>
      <w:r>
        <w:rPr>
          <w:rFonts w:hint="default" w:ascii="Times New Roman" w:hAnsi="Times New Roman" w:cs="Times New Roman"/>
        </w:rPr>
        <w:t>管理部门报告，</w:t>
      </w:r>
      <w:r>
        <w:rPr>
          <w:rFonts w:ascii="Times New Roman" w:hAnsi="Times New Roman" w:cs="Times New Roman"/>
        </w:rPr>
        <w:t>涉及水电站大坝安全的重大隐患应同时报送</w:t>
      </w:r>
      <w:r>
        <w:rPr>
          <w:rFonts w:hint="default" w:ascii="Times New Roman" w:hAnsi="Times New Roman" w:cs="Times New Roman"/>
        </w:rPr>
        <w:t>国家</w:t>
      </w:r>
      <w:r>
        <w:rPr>
          <w:rFonts w:ascii="Times New Roman" w:hAnsi="Times New Roman" w:cs="Times New Roman"/>
        </w:rPr>
        <w:t>能源局大坝安全监</w:t>
      </w:r>
      <w:r>
        <w:rPr>
          <w:rFonts w:hint="default" w:ascii="Times New Roman" w:hAnsi="Times New Roman" w:cs="Times New Roman"/>
        </w:rPr>
        <w:t>察</w:t>
      </w:r>
      <w:r>
        <w:rPr>
          <w:rFonts w:ascii="Times New Roman" w:hAnsi="Times New Roman" w:cs="Times New Roman"/>
        </w:rPr>
        <w:t>中心</w:t>
      </w:r>
      <w:r>
        <w:rPr>
          <w:rFonts w:hint="default" w:ascii="Times New Roman" w:hAnsi="Times New Roman" w:cs="Times New Roman"/>
        </w:rPr>
        <w:t>。涉及消防、环保、防洪、航运和灌溉等重大隐患，电力企业要同时报告地方人民政府有关部门。重大隐患信息报告应包括：隐患名称、隐患现状及其产生的原因、隐患危害程度和治理难易程度分析、隐患的治理计划等（</w:t>
      </w:r>
      <w:r>
        <w:rPr>
          <w:rFonts w:hint="eastAsia" w:ascii="Times New Roman" w:hAnsi="Times New Roman" w:cs="Times New Roman"/>
          <w:lang w:eastAsia="zh-CN"/>
        </w:rPr>
        <w:t>详见</w:t>
      </w:r>
      <w:r>
        <w:rPr>
          <w:rFonts w:hint="default" w:ascii="Times New Roman" w:hAnsi="Times New Roman" w:cs="Times New Roman"/>
        </w:rPr>
        <w:t>附</w:t>
      </w:r>
      <w:r>
        <w:rPr>
          <w:rFonts w:hint="eastAsia" w:ascii="Times New Roman" w:hAnsi="Times New Roman" w:cs="Times New Roman"/>
          <w:lang w:eastAsia="zh-CN"/>
        </w:rPr>
        <w:t>件</w:t>
      </w:r>
      <w:r>
        <w:rPr>
          <w:rFonts w:hint="default" w:ascii="Times New Roman" w:hAnsi="Times New Roman" w:cs="Times New Roman"/>
        </w:rPr>
        <w:t>）。</w:t>
      </w:r>
    </w:p>
    <w:p>
      <w:pPr>
        <w:ind w:firstLine="640"/>
        <w:rPr>
          <w:rFonts w:hint="default" w:ascii="Times New Roman" w:hAnsi="Times New Roman" w:cs="Times New Roman"/>
        </w:rPr>
      </w:pPr>
      <w:r>
        <w:rPr>
          <w:rFonts w:hint="default" w:ascii="Times New Roman" w:hAnsi="Times New Roman" w:cs="Times New Roman"/>
        </w:rPr>
        <w:t>第九条 隐患涉及相邻地区、单位或者社会公众安全的，电力企业应及时通知相邻地区、单位，并报告地方人民政府有关部门，现场进行必要的隔离并设置安全警示标志。</w:t>
      </w:r>
    </w:p>
    <w:p>
      <w:pPr>
        <w:ind w:firstLine="640"/>
        <w:rPr>
          <w:rFonts w:hint="default" w:ascii="Times New Roman" w:hAnsi="Times New Roman" w:cs="Times New Roman"/>
        </w:rPr>
      </w:pPr>
      <w:r>
        <w:rPr>
          <w:rFonts w:hint="default" w:ascii="Times New Roman" w:hAnsi="Times New Roman" w:cs="Times New Roman"/>
        </w:rPr>
        <w:t>第十条 电力企业要建立隐患管理台账，制定切实可行的治理方案，落实治理责任、治理资金、治理措施和治理期限，限期将隐患整改到位。在隐患治理过程中，应当加强监测，采取有效的预防措施，确保安全，必要时应制定应急预案，开展应急演练。</w:t>
      </w:r>
    </w:p>
    <w:p>
      <w:pPr>
        <w:ind w:firstLine="640"/>
        <w:rPr>
          <w:rFonts w:hint="default" w:ascii="Times New Roman" w:hAnsi="Times New Roman" w:cs="Times New Roman"/>
        </w:rPr>
      </w:pPr>
      <w:r>
        <w:rPr>
          <w:rFonts w:hint="default" w:ascii="Times New Roman" w:hAnsi="Times New Roman" w:cs="Times New Roman"/>
        </w:rPr>
        <w:t>隐患治理工作涉及其他单位的，电力企业应协调相关单位及时治理，存在困难的应报告</w:t>
      </w:r>
      <w:r>
        <w:rPr>
          <w:rFonts w:hint="default" w:ascii="Times New Roman" w:hAnsi="Times New Roman" w:cs="Times New Roman"/>
          <w:lang w:eastAsia="zh-CN"/>
        </w:rPr>
        <w:t>国家能源局及其派出机构、地方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协调解决。</w:t>
      </w:r>
    </w:p>
    <w:p>
      <w:pPr>
        <w:ind w:firstLine="640"/>
        <w:rPr>
          <w:rFonts w:ascii="Times New Roman" w:hAnsi="Times New Roman" w:cs="Times New Roman"/>
        </w:rPr>
      </w:pPr>
      <w:r>
        <w:rPr>
          <w:rFonts w:hint="default" w:ascii="Times New Roman" w:hAnsi="Times New Roman" w:cs="Times New Roman"/>
        </w:rPr>
        <w:t>第十一条 在重大隐患排除前或者排除过程中无法保证安全的，电力企业应当停产停业，或者停止运行存在重大隐患的设备设施，撤离人员，并及时向</w:t>
      </w:r>
      <w:r>
        <w:rPr>
          <w:rFonts w:hint="default" w:ascii="Times New Roman" w:hAnsi="Times New Roman" w:cs="Times New Roman"/>
          <w:lang w:eastAsia="zh-CN"/>
        </w:rPr>
        <w:t>国家能源局派出机构、地方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报告。</w:t>
      </w:r>
    </w:p>
    <w:p>
      <w:pPr>
        <w:ind w:firstLine="640"/>
        <w:rPr>
          <w:rFonts w:ascii="Times New Roman" w:hAnsi="Times New Roman" w:cs="Times New Roman"/>
        </w:rPr>
      </w:pPr>
      <w:r>
        <w:rPr>
          <w:rFonts w:hint="default" w:ascii="Times New Roman" w:hAnsi="Times New Roman" w:cs="Times New Roman"/>
        </w:rPr>
        <w:t>第十二条 重大隐患治理工作结束后，电力企业应当组织对隐患的治理情况进行评估。电力企业委托第三方机构提供隐患排查治理服务的，隐患排查治理的责任仍由</w:t>
      </w:r>
      <w:r>
        <w:rPr>
          <w:rFonts w:ascii="Times New Roman" w:hAnsi="Times New Roman" w:cs="Times New Roman"/>
        </w:rPr>
        <w:t>本单位</w:t>
      </w:r>
      <w:r>
        <w:rPr>
          <w:rFonts w:hint="default" w:ascii="Times New Roman" w:hAnsi="Times New Roman" w:cs="Times New Roman"/>
        </w:rPr>
        <w:t>承担。</w:t>
      </w:r>
    </w:p>
    <w:p>
      <w:pPr>
        <w:ind w:firstLine="640"/>
        <w:rPr>
          <w:rFonts w:hint="default" w:ascii="Times New Roman" w:hAnsi="Times New Roman" w:cs="Times New Roman"/>
        </w:rPr>
      </w:pPr>
      <w:r>
        <w:rPr>
          <w:rFonts w:hint="default" w:ascii="Times New Roman" w:hAnsi="Times New Roman" w:cs="Times New Roman"/>
        </w:rPr>
        <w:t>第</w:t>
      </w:r>
      <w:r>
        <w:rPr>
          <w:rFonts w:ascii="Times New Roman" w:hAnsi="Times New Roman" w:cs="Times New Roman"/>
        </w:rPr>
        <w:t>十三条</w:t>
      </w:r>
      <w:r>
        <w:rPr>
          <w:rFonts w:hint="default" w:ascii="Times New Roman" w:hAnsi="Times New Roman" w:cs="Times New Roman"/>
        </w:rPr>
        <w:t xml:space="preserve"> 对</w:t>
      </w:r>
      <w:r>
        <w:rPr>
          <w:rFonts w:hint="default" w:ascii="Times New Roman" w:hAnsi="Times New Roman" w:cs="Times New Roman"/>
          <w:lang w:eastAsia="zh-CN"/>
        </w:rPr>
        <w:t>国家能源局及其派出机构、地方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检查发现并责令停产停业治理的重大隐患，生产经营单位完成治理并经评估后，符合安全生产条件和</w:t>
      </w:r>
      <w:r>
        <w:rPr>
          <w:rFonts w:hint="default" w:ascii="Times New Roman" w:hAnsi="Times New Roman" w:cs="Times New Roman"/>
          <w:lang w:val="en-US" w:eastAsia="zh-CN"/>
        </w:rPr>
        <w:t>检查单位</w:t>
      </w:r>
      <w:r>
        <w:rPr>
          <w:rFonts w:hint="default" w:ascii="Times New Roman" w:hAnsi="Times New Roman" w:cs="Times New Roman"/>
        </w:rPr>
        <w:t>要求的，方可恢复生产经营和</w:t>
      </w:r>
      <w:r>
        <w:rPr>
          <w:rFonts w:ascii="Times New Roman" w:hAnsi="Times New Roman" w:cs="Times New Roman"/>
        </w:rPr>
        <w:t>使用</w:t>
      </w:r>
      <w:r>
        <w:rPr>
          <w:rFonts w:hint="default" w:ascii="Times New Roman" w:hAnsi="Times New Roman" w:cs="Times New Roman"/>
        </w:rPr>
        <w:t>。</w:t>
      </w:r>
    </w:p>
    <w:p>
      <w:pPr>
        <w:ind w:firstLine="640"/>
        <w:rPr>
          <w:rFonts w:hint="default" w:ascii="Times New Roman" w:hAnsi="Times New Roman" w:cs="Times New Roman"/>
        </w:rPr>
      </w:pPr>
      <w:r>
        <w:rPr>
          <w:rFonts w:hint="default" w:ascii="Times New Roman" w:hAnsi="Times New Roman" w:cs="Times New Roman"/>
        </w:rPr>
        <w:t>第十四条 电力企业应如实记录隐患排查治理情况，通过职工大会或者职工代表大会、信息公示栏等方式向本单位从业人员通报。重大隐患排查治理情况应当及时向职工大会或者职工代表大会报告。</w:t>
      </w:r>
    </w:p>
    <w:p>
      <w:pPr>
        <w:ind w:firstLine="640"/>
        <w:rPr>
          <w:rFonts w:hint="default" w:ascii="Times New Roman" w:hAnsi="Times New Roman" w:cs="Times New Roman"/>
        </w:rPr>
      </w:pPr>
      <w:r>
        <w:rPr>
          <w:rFonts w:hint="default" w:ascii="Times New Roman" w:hAnsi="Times New Roman" w:cs="Times New Roman"/>
        </w:rPr>
        <w:t>第十五条 鼓励电力企业建立隐患排查治理激励约束制度，对发现、报告和消除隐患的有功人员，给予奖励或者表彰；对排查治理不力的人员予以相应处理。</w:t>
      </w:r>
    </w:p>
    <w:p>
      <w:pPr>
        <w:ind w:firstLine="640"/>
        <w:rPr>
          <w:rFonts w:hint="default" w:ascii="Times New Roman" w:hAnsi="Times New Roman" w:cs="Times New Roman"/>
        </w:rPr>
      </w:pPr>
      <w:r>
        <w:rPr>
          <w:rFonts w:hint="default" w:ascii="Times New Roman" w:hAnsi="Times New Roman" w:cs="Times New Roman"/>
        </w:rPr>
        <w:t>第十六条 电力企业应当</w:t>
      </w:r>
      <w:r>
        <w:rPr>
          <w:rFonts w:hint="default" w:ascii="Times New Roman" w:hAnsi="Times New Roman" w:cs="Times New Roman"/>
          <w:lang w:val="en-US" w:eastAsia="zh-CN"/>
        </w:rPr>
        <w:t>定期</w:t>
      </w:r>
      <w:r>
        <w:rPr>
          <w:rFonts w:hint="default" w:ascii="Times New Roman" w:hAnsi="Times New Roman" w:cs="Times New Roman"/>
        </w:rPr>
        <w:t>对本单位隐患排查治理情况进行统计分析，</w:t>
      </w:r>
      <w:r>
        <w:rPr>
          <w:rFonts w:hint="default" w:ascii="Times New Roman" w:hAnsi="Times New Roman" w:cs="Times New Roman"/>
          <w:lang w:val="en-US" w:eastAsia="zh-CN"/>
        </w:rPr>
        <w:t>相关情况及时</w:t>
      </w:r>
      <w:r>
        <w:rPr>
          <w:rFonts w:hint="default" w:ascii="Times New Roman" w:hAnsi="Times New Roman" w:cs="Times New Roman"/>
        </w:rPr>
        <w:t>向</w:t>
      </w:r>
      <w:r>
        <w:rPr>
          <w:rFonts w:hint="default" w:ascii="Times New Roman" w:hAnsi="Times New Roman" w:cs="Times New Roman"/>
          <w:lang w:eastAsia="zh-CN"/>
        </w:rPr>
        <w:t>国家能源局派出机构、地方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报送。</w:t>
      </w:r>
    </w:p>
    <w:p>
      <w:pPr>
        <w:pStyle w:val="2"/>
        <w:ind w:firstLine="0" w:firstLineChars="0"/>
        <w:rPr>
          <w:rFonts w:hint="default" w:ascii="Times New Roman" w:hAnsi="Times New Roman" w:cs="Times New Roman"/>
        </w:rPr>
      </w:pPr>
      <w:r>
        <w:rPr>
          <w:rFonts w:hint="default" w:ascii="Times New Roman" w:hAnsi="Times New Roman" w:cs="Times New Roman"/>
        </w:rPr>
        <w:t>第三章 监督管理</w:t>
      </w:r>
    </w:p>
    <w:p>
      <w:pPr>
        <w:ind w:firstLine="640"/>
        <w:rPr>
          <w:rFonts w:hint="default" w:ascii="Times New Roman" w:hAnsi="Times New Roman" w:cs="Times New Roman"/>
        </w:rPr>
      </w:pPr>
      <w:r>
        <w:rPr>
          <w:rFonts w:hint="default" w:ascii="Times New Roman" w:hAnsi="Times New Roman" w:cs="Times New Roman"/>
        </w:rPr>
        <w:t>第十七条 对发现的重大隐患，</w:t>
      </w:r>
      <w:r>
        <w:rPr>
          <w:rFonts w:hint="default" w:ascii="Times New Roman" w:hAnsi="Times New Roman" w:cs="Times New Roman"/>
          <w:lang w:eastAsia="zh-CN"/>
        </w:rPr>
        <w:t>国家能源局派出机构、地方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应于10个工作日内将隐患情况（</w:t>
      </w:r>
      <w:r>
        <w:rPr>
          <w:rFonts w:hint="eastAsia" w:ascii="Times New Roman" w:hAnsi="Times New Roman" w:cs="Times New Roman"/>
          <w:lang w:eastAsia="zh-CN"/>
        </w:rPr>
        <w:t>详见</w:t>
      </w:r>
      <w:r>
        <w:rPr>
          <w:rFonts w:hint="default" w:ascii="Times New Roman" w:hAnsi="Times New Roman" w:cs="Times New Roman"/>
        </w:rPr>
        <w:t>附</w:t>
      </w:r>
      <w:r>
        <w:rPr>
          <w:rFonts w:hint="eastAsia" w:ascii="Times New Roman" w:hAnsi="Times New Roman" w:cs="Times New Roman"/>
          <w:lang w:eastAsia="zh-CN"/>
        </w:rPr>
        <w:t>件</w:t>
      </w:r>
      <w:r>
        <w:rPr>
          <w:rFonts w:hint="default" w:ascii="Times New Roman" w:hAnsi="Times New Roman" w:cs="Times New Roman"/>
        </w:rPr>
        <w:t>）逐级报送至国家能源局。</w:t>
      </w:r>
    </w:p>
    <w:p>
      <w:pPr>
        <w:ind w:firstLine="640"/>
        <w:rPr>
          <w:rFonts w:hint="default" w:ascii="Times New Roman" w:hAnsi="Times New Roman" w:cs="Times New Roman"/>
        </w:rPr>
      </w:pPr>
      <w:r>
        <w:rPr>
          <w:rFonts w:hint="default" w:ascii="Times New Roman" w:hAnsi="Times New Roman" w:cs="Times New Roman"/>
          <w:lang w:eastAsia="zh-CN"/>
        </w:rPr>
        <w:t>国家能源局派出机构、地方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应</w:t>
      </w:r>
      <w:r>
        <w:rPr>
          <w:rFonts w:hint="default" w:ascii="Times New Roman" w:hAnsi="Times New Roman" w:cs="Times New Roman"/>
          <w:lang w:val="en-US" w:eastAsia="zh-CN"/>
        </w:rPr>
        <w:t>依照</w:t>
      </w:r>
      <w:r>
        <w:rPr>
          <w:rFonts w:ascii="Times New Roman" w:hAnsi="Times New Roman" w:eastAsia="仿宋_GB2312" w:cs="Times New Roman"/>
          <w:kern w:val="0"/>
          <w:sz w:val="32"/>
          <w:szCs w:val="32"/>
        </w:rPr>
        <w:t>法律法规和相关规定</w:t>
      </w:r>
      <w:r>
        <w:rPr>
          <w:rFonts w:hint="default" w:ascii="Times New Roman" w:hAnsi="Times New Roman" w:cs="Times New Roman"/>
        </w:rPr>
        <w:t>对重大隐患治理进行督办，国家能源局认为有必要的，可直接督办。督办可采用督办通知单的方式，内容主要包括：督办名称、督办事项、整改和过程防控要求、办理期限、督办解除程序和方式。</w:t>
      </w:r>
    </w:p>
    <w:p>
      <w:pPr>
        <w:ind w:firstLine="640"/>
        <w:rPr>
          <w:rFonts w:hint="default" w:ascii="Times New Roman" w:hAnsi="Times New Roman" w:cs="Times New Roman"/>
        </w:rPr>
      </w:pPr>
      <w:r>
        <w:rPr>
          <w:rFonts w:hint="default" w:ascii="Times New Roman" w:hAnsi="Times New Roman" w:cs="Times New Roman"/>
        </w:rPr>
        <w:t>第十八条 任何单位或者个人发现隐患或者隐患排查治理违法行为，均有权向</w:t>
      </w:r>
      <w:r>
        <w:rPr>
          <w:rFonts w:hint="default" w:ascii="Times New Roman" w:hAnsi="Times New Roman" w:cs="Times New Roman"/>
          <w:lang w:eastAsia="zh-CN"/>
        </w:rPr>
        <w:t>国家能源局及其派出机构、地方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报告或者举报。</w:t>
      </w:r>
    </w:p>
    <w:p>
      <w:pPr>
        <w:ind w:firstLine="640"/>
        <w:rPr>
          <w:rFonts w:hint="default" w:ascii="Times New Roman" w:hAnsi="Times New Roman" w:cs="Times New Roman"/>
        </w:rPr>
      </w:pPr>
      <w:r>
        <w:rPr>
          <w:rFonts w:hint="default" w:ascii="Times New Roman" w:hAnsi="Times New Roman" w:cs="Times New Roman"/>
        </w:rPr>
        <w:t xml:space="preserve">第十九条 </w:t>
      </w:r>
      <w:r>
        <w:rPr>
          <w:rFonts w:hint="default" w:ascii="Times New Roman" w:hAnsi="Times New Roman" w:cs="Times New Roman"/>
          <w:lang w:eastAsia="zh-CN"/>
        </w:rPr>
        <w:t>国家能源局派出机构、地方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应加强信息化建设，定期统计分析电力企业隐患排查治理情况，并将重大隐患纳入相关信息系统管理。</w:t>
      </w:r>
    </w:p>
    <w:p>
      <w:pPr>
        <w:ind w:firstLine="640"/>
        <w:rPr>
          <w:rFonts w:hint="default" w:ascii="Times New Roman" w:hAnsi="Times New Roman" w:cs="Times New Roman"/>
        </w:rPr>
      </w:pPr>
      <w:r>
        <w:rPr>
          <w:rFonts w:hint="default" w:ascii="Times New Roman" w:hAnsi="Times New Roman" w:cs="Times New Roman"/>
        </w:rPr>
        <w:t xml:space="preserve">第二十条 </w:t>
      </w:r>
      <w:r>
        <w:rPr>
          <w:rFonts w:hint="default" w:ascii="Times New Roman" w:hAnsi="Times New Roman" w:cs="Times New Roman"/>
          <w:lang w:eastAsia="zh-CN"/>
        </w:rPr>
        <w:t>国家能源局及其派出机构、地方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rPr>
        <w:t>对检查中发现的隐患，应当责令立即治理；重大隐患排除前或者排除过程中无法保证安全的，应当责令从危险区域内撤出作业人员，责令暂时停产停业，或者停止使用相关设备设施。</w:t>
      </w:r>
    </w:p>
    <w:p>
      <w:pPr>
        <w:ind w:firstLine="640"/>
        <w:rPr>
          <w:rFonts w:ascii="Times New Roman" w:hAnsi="Times New Roman" w:cs="Times New Roman"/>
        </w:rPr>
      </w:pPr>
      <w:r>
        <w:rPr>
          <w:rFonts w:hint="default" w:ascii="Times New Roman" w:hAnsi="Times New Roman" w:cs="Times New Roman"/>
        </w:rPr>
        <w:t>第二十一条 电力企业有下列情形之一的，由</w:t>
      </w:r>
      <w:r>
        <w:rPr>
          <w:rFonts w:hint="default" w:ascii="Times New Roman" w:hAnsi="Times New Roman" w:cs="Times New Roman"/>
          <w:lang w:eastAsia="zh-CN"/>
        </w:rPr>
        <w:t>国家能源局及其派出机构、地方</w:t>
      </w:r>
      <w:r>
        <w:rPr>
          <w:rFonts w:hint="default" w:ascii="Times New Roman" w:hAnsi="Times New Roman" w:cs="Times New Roman"/>
          <w:lang w:val="en-US" w:eastAsia="zh-CN"/>
        </w:rPr>
        <w:t>电力</w:t>
      </w:r>
      <w:r>
        <w:rPr>
          <w:rFonts w:hint="default" w:ascii="Times New Roman" w:hAnsi="Times New Roman" w:cs="Times New Roman"/>
          <w:lang w:eastAsia="zh-CN"/>
        </w:rPr>
        <w:t>管理部门</w:t>
      </w:r>
      <w:r>
        <w:rPr>
          <w:rFonts w:hint="default" w:ascii="Times New Roman" w:hAnsi="Times New Roman" w:cs="Times New Roman"/>
          <w:lang w:val="en-US" w:eastAsia="zh-CN"/>
        </w:rPr>
        <w:t>依照</w:t>
      </w:r>
      <w:r>
        <w:rPr>
          <w:rFonts w:ascii="Times New Roman" w:hAnsi="Times New Roman" w:eastAsia="仿宋_GB2312" w:cs="Times New Roman"/>
          <w:kern w:val="0"/>
          <w:sz w:val="32"/>
          <w:szCs w:val="32"/>
        </w:rPr>
        <w:t>法律法规和相关规定</w:t>
      </w:r>
      <w:r>
        <w:rPr>
          <w:rFonts w:hint="default" w:ascii="Times New Roman" w:hAnsi="Times New Roman" w:cs="Times New Roman"/>
        </w:rPr>
        <w:t>进行处罚，并将涉及的违法违规行为纳入信用记录，实施失信惩戒；构成犯罪的，转相关部门追究刑事责任。</w:t>
      </w:r>
    </w:p>
    <w:p>
      <w:pPr>
        <w:ind w:firstLine="640"/>
        <w:rPr>
          <w:rFonts w:ascii="Times New Roman" w:hAnsi="Times New Roman" w:cs="Times New Roman"/>
        </w:rPr>
      </w:pPr>
      <w:r>
        <w:rPr>
          <w:rFonts w:ascii="Times New Roman" w:hAnsi="Times New Roman" w:cs="Times New Roman"/>
        </w:rPr>
        <w:t>（一）</w:t>
      </w:r>
      <w:r>
        <w:rPr>
          <w:rFonts w:hint="default" w:ascii="Times New Roman" w:hAnsi="Times New Roman" w:cs="Times New Roman"/>
        </w:rPr>
        <w:t>电力企业未将隐患排查治理情况如实记录或者未向从业人员通报的</w:t>
      </w:r>
      <w:r>
        <w:rPr>
          <w:rFonts w:ascii="Times New Roman" w:hAnsi="Times New Roman" w:cs="Times New Roman"/>
        </w:rPr>
        <w:t>；</w:t>
      </w:r>
    </w:p>
    <w:p>
      <w:pPr>
        <w:ind w:firstLine="640"/>
        <w:rPr>
          <w:rFonts w:ascii="Times New Roman" w:hAnsi="Times New Roman" w:cs="Times New Roman"/>
        </w:rPr>
      </w:pPr>
      <w:r>
        <w:rPr>
          <w:rFonts w:ascii="Times New Roman" w:hAnsi="Times New Roman" w:cs="Times New Roman"/>
        </w:rPr>
        <w:t>（二）</w:t>
      </w:r>
      <w:r>
        <w:rPr>
          <w:rFonts w:hint="default" w:ascii="Times New Roman" w:hAnsi="Times New Roman" w:cs="Times New Roman"/>
        </w:rPr>
        <w:t>电力企业主要负责人未履行隐患排查治理相应职责</w:t>
      </w:r>
      <w:r>
        <w:rPr>
          <w:rFonts w:ascii="Times New Roman" w:hAnsi="Times New Roman" w:cs="Times New Roman"/>
        </w:rPr>
        <w:t>的；</w:t>
      </w:r>
    </w:p>
    <w:p>
      <w:pPr>
        <w:ind w:firstLine="640"/>
        <w:rPr>
          <w:rFonts w:ascii="Times New Roman" w:hAnsi="Times New Roman" w:cs="Times New Roman"/>
        </w:rPr>
      </w:pPr>
      <w:r>
        <w:rPr>
          <w:rFonts w:ascii="Times New Roman" w:hAnsi="Times New Roman" w:cs="Times New Roman"/>
        </w:rPr>
        <w:t>（三）</w:t>
      </w:r>
      <w:r>
        <w:rPr>
          <w:rFonts w:hint="default" w:ascii="Times New Roman" w:hAnsi="Times New Roman" w:cs="Times New Roman"/>
        </w:rPr>
        <w:t>未建立隐患排查治理制度或者重大隐患排查治理情况未按照规定报告、未采取措施消除隐患的；</w:t>
      </w:r>
    </w:p>
    <w:p>
      <w:pPr>
        <w:ind w:firstLine="640"/>
        <w:rPr>
          <w:rFonts w:ascii="Times New Roman" w:hAnsi="Times New Roman" w:cs="Times New Roman"/>
        </w:rPr>
      </w:pPr>
      <w:r>
        <w:rPr>
          <w:rFonts w:ascii="Times New Roman" w:hAnsi="Times New Roman" w:cs="Times New Roman"/>
        </w:rPr>
        <w:t>（</w:t>
      </w:r>
      <w:r>
        <w:rPr>
          <w:rFonts w:hint="default" w:ascii="Times New Roman" w:hAnsi="Times New Roman" w:cs="Times New Roman"/>
        </w:rPr>
        <w:t>四</w:t>
      </w:r>
      <w:r>
        <w:rPr>
          <w:rFonts w:ascii="Times New Roman" w:hAnsi="Times New Roman" w:cs="Times New Roman"/>
        </w:rPr>
        <w:t>）</w:t>
      </w:r>
      <w:r>
        <w:rPr>
          <w:rFonts w:hint="default" w:ascii="Times New Roman" w:hAnsi="Times New Roman" w:cs="Times New Roman"/>
        </w:rPr>
        <w:t>其他</w:t>
      </w:r>
      <w:r>
        <w:rPr>
          <w:rFonts w:ascii="Times New Roman" w:hAnsi="Times New Roman" w:cs="Times New Roman"/>
        </w:rPr>
        <w:t>违反</w:t>
      </w:r>
      <w:r>
        <w:rPr>
          <w:rFonts w:hint="default" w:ascii="Times New Roman" w:hAnsi="Times New Roman" w:cs="Times New Roman"/>
        </w:rPr>
        <w:t>隐患排查治理相关规定应予处罚的情形</w:t>
      </w:r>
      <w:r>
        <w:rPr>
          <w:rFonts w:ascii="Times New Roman" w:hAnsi="Times New Roman" w:cs="Times New Roman"/>
        </w:rPr>
        <w:t>。</w:t>
      </w:r>
    </w:p>
    <w:p>
      <w:pPr>
        <w:pStyle w:val="2"/>
        <w:ind w:firstLine="0" w:firstLineChars="0"/>
        <w:rPr>
          <w:rFonts w:hint="default" w:ascii="Times New Roman" w:hAnsi="Times New Roman" w:cs="Times New Roman"/>
        </w:rPr>
      </w:pPr>
      <w:r>
        <w:rPr>
          <w:rFonts w:hint="default" w:ascii="Times New Roman" w:hAnsi="Times New Roman" w:cs="Times New Roman"/>
        </w:rPr>
        <w:t>第四章 附 则</w:t>
      </w:r>
    </w:p>
    <w:p>
      <w:pPr>
        <w:ind w:firstLine="640"/>
        <w:rPr>
          <w:rFonts w:hint="default" w:ascii="Times New Roman" w:hAnsi="Times New Roman" w:cs="Times New Roman"/>
        </w:rPr>
      </w:pPr>
      <w:r>
        <w:rPr>
          <w:rFonts w:hint="default" w:ascii="Times New Roman" w:hAnsi="Times New Roman" w:cs="Times New Roman"/>
        </w:rPr>
        <w:t>第二十二条 本规定自2</w:t>
      </w:r>
      <w:r>
        <w:rPr>
          <w:rFonts w:ascii="Times New Roman" w:hAnsi="Times New Roman" w:cs="Times New Roman"/>
        </w:rPr>
        <w:t>02</w:t>
      </w:r>
      <w:r>
        <w:rPr>
          <w:rFonts w:hint="default" w:ascii="Times New Roman" w:hAnsi="Times New Roman" w:cs="Times New Roman"/>
        </w:rPr>
        <w:t>3年</w:t>
      </w:r>
      <w:r>
        <w:rPr>
          <w:rFonts w:hint="eastAsia" w:ascii="Times New Roman" w:hAnsi="Times New Roman" w:cs="Times New Roman"/>
          <w:lang w:val="en-US" w:eastAsia="zh-CN"/>
        </w:rPr>
        <w:t>2</w:t>
      </w:r>
      <w:r>
        <w:rPr>
          <w:rFonts w:hint="default" w:ascii="Times New Roman" w:hAnsi="Times New Roman" w:cs="Times New Roman"/>
        </w:rPr>
        <w:t>月1日起施行，有效期5年。《电力安全隐患监督管理暂行规定》（电监安全﹝2013﹞5号）同时废止。</w:t>
      </w:r>
    </w:p>
    <w:p>
      <w:pPr>
        <w:ind w:firstLine="640"/>
        <w:rPr>
          <w:rFonts w:hint="default" w:ascii="Times New Roman" w:hAnsi="Times New Roman" w:cs="Times New Roman"/>
        </w:rPr>
      </w:pPr>
    </w:p>
    <w:p>
      <w:pPr>
        <w:ind w:firstLine="640"/>
        <w:rPr>
          <w:rFonts w:hint="eastAsia"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567" w:gutter="0"/>
          <w:pgNumType w:fmt="decimal"/>
          <w:cols w:space="720" w:num="1"/>
          <w:docGrid w:type="lines" w:linePitch="312" w:charSpace="0"/>
        </w:sectPr>
      </w:pPr>
      <w:r>
        <w:rPr>
          <w:rFonts w:hint="eastAsia" w:ascii="Times New Roman" w:hAnsi="Times New Roman" w:cs="Times New Roman"/>
          <w:lang w:eastAsia="zh-CN"/>
        </w:rPr>
        <w:t>附件：重大电力安全隐患信息报告单</w:t>
      </w:r>
    </w:p>
    <w:p>
      <w:pPr>
        <w:adjustRightInd w:val="0"/>
        <w:snapToGrid w:val="0"/>
        <w:ind w:firstLine="0" w:firstLineChars="0"/>
        <w:rPr>
          <w:rFonts w:hint="default" w:ascii="Times New Roman" w:hAnsi="Times New Roman" w:cs="Times New Roman"/>
        </w:rPr>
      </w:pPr>
      <w:r>
        <w:rPr>
          <w:rFonts w:hint="default" w:ascii="Times New Roman" w:hAnsi="Times New Roman" w:eastAsia="黑体" w:cs="Times New Roman"/>
          <w:sz w:val="30"/>
          <w:szCs w:val="30"/>
        </w:rPr>
        <w:t>附</w:t>
      </w:r>
      <w:r>
        <w:rPr>
          <w:rFonts w:hint="eastAsia" w:ascii="Times New Roman" w:hAnsi="Times New Roman" w:eastAsia="黑体" w:cs="Times New Roman"/>
          <w:sz w:val="30"/>
          <w:szCs w:val="30"/>
          <w:lang w:eastAsia="zh-CN"/>
        </w:rPr>
        <w:t>件</w:t>
      </w:r>
      <w:r>
        <w:rPr>
          <w:rFonts w:hint="default" w:ascii="Times New Roman" w:hAnsi="Times New Roman" w:cs="Times New Roman"/>
        </w:rPr>
        <w:t xml:space="preserve"> </w:t>
      </w:r>
    </w:p>
    <w:p>
      <w:pPr>
        <w:ind w:firstLine="640"/>
        <w:rPr>
          <w:rFonts w:hint="default" w:ascii="Times New Roman" w:hAnsi="Times New Roman" w:cs="Times New Roman"/>
        </w:rPr>
      </w:pPr>
    </w:p>
    <w:p>
      <w:pPr>
        <w:adjustRightInd w:val="0"/>
        <w:snapToGrid w:val="0"/>
        <w:ind w:firstLine="0" w:firstLineChars="0"/>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重大电力安全隐患信息报告单</w:t>
      </w:r>
    </w:p>
    <w:p>
      <w:pPr>
        <w:adjustRightInd w:val="0"/>
        <w:snapToGrid w:val="0"/>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填报单位（签章）：                      填报时间：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隐患评估时间：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安全第一责任人：</w:t>
            </w:r>
          </w:p>
        </w:tc>
        <w:tc>
          <w:tcPr>
            <w:tcW w:w="4530" w:type="dxa"/>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治理负责人：</w:t>
            </w:r>
          </w:p>
        </w:tc>
        <w:tc>
          <w:tcPr>
            <w:tcW w:w="4530" w:type="dxa"/>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隐患产生的原因：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隐患危害程度和治理难易程度分析：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隐患治理计划：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8"/>
                <w:szCs w:val="28"/>
              </w:rPr>
              <w:t>应急预案简述：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Borders>
              <w:left w:val="nil"/>
              <w:bottom w:val="nil"/>
              <w:right w:val="nil"/>
            </w:tcBorders>
            <w:noWrap w:val="0"/>
            <w:vAlign w:val="top"/>
          </w:tcPr>
          <w:p>
            <w:pPr>
              <w:adjustRightInd w:val="0"/>
              <w:snapToGrid w:val="0"/>
              <w:ind w:firstLine="0" w:firstLineChars="0"/>
              <w:rPr>
                <w:rFonts w:ascii="Times New Roman" w:hAnsi="Times New Roman" w:cs="Times New Roman"/>
                <w:sz w:val="28"/>
                <w:szCs w:val="28"/>
              </w:rPr>
            </w:pPr>
            <w:r>
              <w:rPr>
                <w:rFonts w:hint="default" w:ascii="Times New Roman" w:hAnsi="Times New Roman" w:cs="Times New Roman"/>
                <w:sz w:val="24"/>
              </w:rPr>
              <w:t>备注：信息报告单内容以简要叙述为主，文字超过本表内容的，可单独附页说明。</w:t>
            </w:r>
          </w:p>
        </w:tc>
      </w:tr>
    </w:tbl>
    <w:p>
      <w:pPr>
        <w:adjustRightInd w:val="0"/>
        <w:snapToGrid w:val="0"/>
        <w:ind w:firstLine="0" w:firstLineChars="0"/>
        <w:rPr>
          <w:rFonts w:ascii="Times New Roman" w:hAnsi="Times New Roman" w:cs="Times New Roman"/>
        </w:rPr>
      </w:pPr>
    </w:p>
    <w:p/>
    <w:sectPr>
      <w:pgSz w:w="11906" w:h="16838"/>
      <w:pgMar w:top="2098" w:right="1474" w:bottom="1984" w:left="1588" w:header="851" w:footer="56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ind w:firstLine="640"/>
                            <w:rPr>
                              <w:sz w:val="24"/>
                              <w:szCs w:val="21"/>
                            </w:rPr>
                          </w:pPr>
                          <w:r>
                            <w:rPr>
                              <w:sz w:val="24"/>
                              <w:szCs w:val="21"/>
                            </w:rPr>
                            <w:t xml:space="preserve">— </w:t>
                          </w:r>
                          <w:r>
                            <w:rPr>
                              <w:sz w:val="24"/>
                              <w:szCs w:val="21"/>
                            </w:rPr>
                            <w:fldChar w:fldCharType="begin"/>
                          </w:r>
                          <w:r>
                            <w:rPr>
                              <w:sz w:val="24"/>
                              <w:szCs w:val="21"/>
                            </w:rPr>
                            <w:instrText xml:space="preserve"> PAGE  \* MERGEFORMAT </w:instrText>
                          </w:r>
                          <w:r>
                            <w:rPr>
                              <w:sz w:val="24"/>
                              <w:szCs w:val="21"/>
                            </w:rPr>
                            <w:fldChar w:fldCharType="separate"/>
                          </w:r>
                          <w:r>
                            <w:rPr>
                              <w:sz w:val="24"/>
                              <w:szCs w:val="21"/>
                            </w:rPr>
                            <w:t>2</w:t>
                          </w:r>
                          <w:r>
                            <w:rPr>
                              <w:sz w:val="24"/>
                              <w:szCs w:val="21"/>
                            </w:rPr>
                            <w:fldChar w:fldCharType="end"/>
                          </w:r>
                          <w:r>
                            <w:rPr>
                              <w:sz w:val="24"/>
                              <w:szCs w:val="21"/>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ind w:firstLine="640"/>
                      <w:rPr>
                        <w:sz w:val="24"/>
                        <w:szCs w:val="21"/>
                      </w:rPr>
                    </w:pPr>
                    <w:r>
                      <w:rPr>
                        <w:sz w:val="24"/>
                        <w:szCs w:val="21"/>
                      </w:rPr>
                      <w:t xml:space="preserve">— </w:t>
                    </w:r>
                    <w:r>
                      <w:rPr>
                        <w:sz w:val="24"/>
                        <w:szCs w:val="21"/>
                      </w:rPr>
                      <w:fldChar w:fldCharType="begin"/>
                    </w:r>
                    <w:r>
                      <w:rPr>
                        <w:sz w:val="24"/>
                        <w:szCs w:val="21"/>
                      </w:rPr>
                      <w:instrText xml:space="preserve"> PAGE  \* MERGEFORMAT </w:instrText>
                    </w:r>
                    <w:r>
                      <w:rPr>
                        <w:sz w:val="24"/>
                        <w:szCs w:val="21"/>
                      </w:rPr>
                      <w:fldChar w:fldCharType="separate"/>
                    </w:r>
                    <w:r>
                      <w:rPr>
                        <w:sz w:val="24"/>
                        <w:szCs w:val="21"/>
                      </w:rPr>
                      <w:t>2</w:t>
                    </w:r>
                    <w:r>
                      <w:rPr>
                        <w:sz w:val="24"/>
                        <w:szCs w:val="21"/>
                      </w:rPr>
                      <w:fldChar w:fldCharType="end"/>
                    </w:r>
                    <w:r>
                      <w:rPr>
                        <w:sz w:val="24"/>
                        <w:szCs w:val="21"/>
                      </w:rPr>
                      <w:t xml:space="preserve"> —</w:t>
                    </w:r>
                  </w:p>
                </w:txbxContent>
              </v:textbox>
            </v:shape>
          </w:pict>
        </mc:Fallback>
      </mc:AlternateConten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s>
  <w:rsids>
    <w:rsidRoot w:val="09913582"/>
    <w:rsid w:val="09913582"/>
    <w:rsid w:val="2DFD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880" w:firstLineChars="200"/>
      <w:jc w:val="both"/>
    </w:pPr>
    <w:rPr>
      <w:rFonts w:ascii="仿宋" w:hAnsi="仿宋" w:eastAsia="仿宋" w:cs="Times New Roman"/>
      <w:kern w:val="2"/>
      <w:sz w:val="32"/>
      <w:szCs w:val="24"/>
      <w:lang w:val="en-US" w:eastAsia="zh-CN" w:bidi="ar-SA"/>
    </w:rPr>
  </w:style>
  <w:style w:type="paragraph" w:styleId="2">
    <w:name w:val="heading 2"/>
    <w:basedOn w:val="1"/>
    <w:next w:val="1"/>
    <w:qFormat/>
    <w:uiPriority w:val="0"/>
    <w:pPr>
      <w:spacing w:before="100" w:beforeAutospacing="1" w:after="100" w:afterAutospacing="1"/>
      <w:jc w:val="center"/>
      <w:outlineLvl w:val="1"/>
    </w:pPr>
    <w:rPr>
      <w:rFonts w:hint="eastAsia" w:ascii="宋体" w:hAnsi="宋体" w:eastAsia="黑体"/>
      <w:kern w:val="0"/>
      <w:szCs w:val="3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2696</Words>
  <Characters>2703</Characters>
  <Lines>0</Lines>
  <Paragraphs>0</Paragraphs>
  <TotalTime>0</TotalTime>
  <ScaleCrop>false</ScaleCrop>
  <LinksUpToDate>false</LinksUpToDate>
  <CharactersWithSpaces>2787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2023-01-18T02:11:00Z</dcterms:created>
  <dc:creator>小笨</dc:creator>
  <cp:lastModifiedBy>WPS_1569922117</cp:lastModifiedBy>
  <dcterms:modified xsi:type="dcterms:W3CDTF">2023-07-26T08:41:13Z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D458DC8F7D294D93996C44D4FBC55953_13</vt:lpwstr>
  </property>
</Properties>
</file>